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7CBE" w14:textId="77777777" w:rsidR="00437993" w:rsidRDefault="00437993" w:rsidP="00437993">
      <w:pPr>
        <w:spacing w:after="0" w:line="252" w:lineRule="auto"/>
        <w:rPr>
          <w:rFonts w:ascii="Century Gothic" w:eastAsia="Calibri" w:hAnsi="Century Gothic" w:cstheme="majorHAnsi"/>
          <w:b/>
          <w:sz w:val="24"/>
          <w:szCs w:val="24"/>
        </w:rPr>
      </w:pPr>
    </w:p>
    <w:p w14:paraId="3AF67CAF" w14:textId="676613D8" w:rsidR="00437993" w:rsidRDefault="00437993" w:rsidP="00437993">
      <w:pPr>
        <w:spacing w:after="0" w:line="276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Projeto de Lei nº. 01</w:t>
      </w: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1</w:t>
      </w: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/2023</w:t>
      </w:r>
    </w:p>
    <w:p w14:paraId="1D1A2290" w14:textId="77777777" w:rsidR="00437993" w:rsidRDefault="00437993" w:rsidP="00437993">
      <w:pPr>
        <w:spacing w:after="0" w:line="276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(De Iniciativa do Poder Legislativo)</w:t>
      </w:r>
    </w:p>
    <w:p w14:paraId="0EACB1C0" w14:textId="77777777" w:rsidR="00437993" w:rsidRDefault="00437993" w:rsidP="00437993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</w:p>
    <w:p w14:paraId="122BD883" w14:textId="62E49E7F" w:rsidR="00437993" w:rsidRDefault="00437993" w:rsidP="00437993">
      <w:pPr>
        <w:tabs>
          <w:tab w:val="left" w:pos="600"/>
        </w:tabs>
        <w:spacing w:after="0" w:line="360" w:lineRule="auto"/>
        <w:ind w:left="2880"/>
        <w:jc w:val="both"/>
        <w:rPr>
          <w:rFonts w:ascii="Century Gothic" w:eastAsia="Times New Roman" w:hAnsi="Century Gothic" w:cstheme="minorHAnsi"/>
          <w:b/>
          <w:sz w:val="24"/>
          <w:szCs w:val="24"/>
          <w:u w:val="single"/>
          <w:lang w:eastAsia="pt-BR"/>
        </w:rPr>
      </w:pPr>
      <w:r>
        <w:rPr>
          <w:rFonts w:ascii="Century Gothic" w:eastAsia="Times New Roman" w:hAnsi="Century Gothic" w:cstheme="minorHAnsi"/>
          <w:b/>
          <w:bCs/>
          <w:sz w:val="24"/>
          <w:szCs w:val="24"/>
          <w:u w:val="single"/>
          <w:lang w:eastAsia="pt-BR"/>
        </w:rPr>
        <w:t>“</w:t>
      </w:r>
      <w:r w:rsidRPr="00437993">
        <w:rPr>
          <w:rFonts w:ascii="Century Gothic" w:eastAsia="Times New Roman" w:hAnsi="Century Gothic" w:cstheme="minorHAnsi"/>
          <w:b/>
          <w:bCs/>
          <w:sz w:val="24"/>
          <w:szCs w:val="24"/>
          <w:u w:val="single"/>
          <w:lang w:eastAsia="pt-BR"/>
        </w:rPr>
        <w:t>INSTITUI A COMENDA</w:t>
      </w:r>
      <w:r>
        <w:rPr>
          <w:rFonts w:ascii="Century Gothic" w:eastAsia="Times New Roman" w:hAnsi="Century Gothic" w:cstheme="minorHAnsi"/>
          <w:b/>
          <w:bCs/>
          <w:sz w:val="24"/>
          <w:szCs w:val="24"/>
          <w:u w:val="single"/>
          <w:lang w:eastAsia="pt-BR"/>
        </w:rPr>
        <w:t xml:space="preserve"> “</w:t>
      </w:r>
      <w:r w:rsidRPr="00437993">
        <w:rPr>
          <w:rFonts w:ascii="Century Gothic" w:eastAsia="Times New Roman" w:hAnsi="Century Gothic" w:cstheme="minorHAnsi"/>
          <w:b/>
          <w:bCs/>
          <w:sz w:val="24"/>
          <w:szCs w:val="24"/>
          <w:u w:val="single"/>
          <w:lang w:eastAsia="pt-BR"/>
        </w:rPr>
        <w:t>MIRAI ANTÔNIA COSTA FARIA” AOS</w:t>
      </w:r>
      <w:r w:rsidRPr="00437993">
        <w:rPr>
          <w:rFonts w:ascii="Century Gothic" w:eastAsia="Times New Roman" w:hAnsi="Century Gothic" w:cstheme="minorHAnsi"/>
          <w:b/>
          <w:bCs/>
          <w:sz w:val="24"/>
          <w:szCs w:val="24"/>
          <w:u w:val="single"/>
          <w:lang w:eastAsia="pt-BR"/>
        </w:rPr>
        <w:t xml:space="preserve"> ENFERMEIROS E TÉCNICOS DE ENFERMAGEM E DÁ OUTRAS PROVIDÊNCIAS</w:t>
      </w:r>
      <w:r>
        <w:rPr>
          <w:rFonts w:ascii="Century Gothic" w:eastAsia="Times New Roman" w:hAnsi="Century Gothic" w:cstheme="minorHAnsi"/>
          <w:b/>
          <w:bCs/>
          <w:sz w:val="24"/>
          <w:szCs w:val="24"/>
          <w:u w:val="single"/>
          <w:lang w:eastAsia="pt-BR"/>
        </w:rPr>
        <w:t>.”</w:t>
      </w:r>
    </w:p>
    <w:p w14:paraId="371DD130" w14:textId="77777777" w:rsidR="00437993" w:rsidRDefault="00437993" w:rsidP="00437993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</w:p>
    <w:p w14:paraId="0DEEEFBD" w14:textId="77777777" w:rsidR="00437993" w:rsidRDefault="00437993" w:rsidP="00437993">
      <w:pPr>
        <w:spacing w:line="360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bCs/>
          <w:color w:val="000000" w:themeColor="text1"/>
          <w:sz w:val="24"/>
          <w:szCs w:val="24"/>
        </w:rPr>
        <w:t>A CÂMARA MUNICIPAL DE CAMPINA VERDE/MG</w:t>
      </w:r>
      <w:r>
        <w:rPr>
          <w:rFonts w:ascii="Century Gothic" w:eastAsia="Calibri" w:hAnsi="Century Gothic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aprova, e eu, </w:t>
      </w: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PREFEITO MUNICIPAL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, com fulcro na Lei Orgânica do Município - LOM, sanciono a seguinte Lei:</w:t>
      </w:r>
    </w:p>
    <w:p w14:paraId="385FC016" w14:textId="27CE11A1" w:rsidR="00437993" w:rsidRDefault="00437993" w:rsidP="00437993">
      <w:pPr>
        <w:spacing w:line="360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bCs/>
          <w:color w:val="000000" w:themeColor="text1"/>
          <w:sz w:val="24"/>
          <w:szCs w:val="24"/>
          <w:u w:val="single"/>
        </w:rPr>
        <w:t>Art. 1º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- </w:t>
      </w:r>
      <w:r w:rsidRPr="00437993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Fica instituída na Câmara Municipal de 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Campina Verde - MG</w:t>
      </w:r>
      <w:r w:rsidRPr="00437993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a Comenda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“Mirai Antônia Costa Faria”</w:t>
      </w:r>
      <w:r w:rsidRPr="00437993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a ser conferida aos Enfermeiros e Técnicos de Enfermagem que se destacarem no exercício de suas atividades.</w:t>
      </w:r>
    </w:p>
    <w:p w14:paraId="4C58D5DF" w14:textId="1C0FA9DE" w:rsidR="00437993" w:rsidRDefault="00437993" w:rsidP="00437993">
      <w:pPr>
        <w:spacing w:line="360" w:lineRule="auto"/>
        <w:jc w:val="both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  <w:u w:val="single"/>
        </w:rPr>
        <w:t>Art. 2º</w:t>
      </w: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 xml:space="preserve"> - </w:t>
      </w:r>
      <w:r w:rsidRPr="00437993">
        <w:rPr>
          <w:rFonts w:ascii="Century Gothic" w:eastAsia="Calibri" w:hAnsi="Century Gothic" w:cstheme="minorHAnsi"/>
          <w:bCs/>
          <w:color w:val="000000" w:themeColor="text1"/>
          <w:sz w:val="24"/>
          <w:szCs w:val="24"/>
        </w:rPr>
        <w:t>A Comenda será outorgada em sessão solene, cabendo a cada Vereador(a) a indicação de um profissional da categoria da enfermagem (enfermeiros ou técnicos de enfermagem) em destaque com antecedência de 30 (trinta) dias da data da homenagem.</w:t>
      </w:r>
    </w:p>
    <w:p w14:paraId="777E8AD1" w14:textId="77777777" w:rsidR="00437993" w:rsidRDefault="00437993" w:rsidP="00437993">
      <w:pPr>
        <w:spacing w:line="360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 w:rsidRPr="00437993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§1º A homenagem será prestada bienalmente na semana do dia 12 a 20 de maio.</w:t>
      </w:r>
    </w:p>
    <w:p w14:paraId="42AAE6B3" w14:textId="77777777" w:rsidR="00437993" w:rsidRDefault="00437993" w:rsidP="00437993">
      <w:pPr>
        <w:spacing w:line="360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 w:rsidRPr="00437993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§2º Cada homenageado(a) será agraciado(a) com a Comenda apenas uma vez. </w:t>
      </w:r>
    </w:p>
    <w:p w14:paraId="70DFBFFE" w14:textId="768822EB" w:rsidR="00437993" w:rsidRDefault="00437993" w:rsidP="00437993">
      <w:pPr>
        <w:spacing w:line="360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 w:rsidRPr="00437993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§3º Para efeitos deste Decreto considera-se profissional da categoria da enfermagem aqueles definidos nos artigos 6º e 7º da Lei n.º 7.498/86.</w:t>
      </w:r>
    </w:p>
    <w:p w14:paraId="112CE46A" w14:textId="3E74BD85" w:rsidR="00437993" w:rsidRDefault="00437993" w:rsidP="00437993">
      <w:pPr>
        <w:spacing w:line="360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  <w:u w:val="single"/>
        </w:rPr>
        <w:t>Art. 3º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- </w:t>
      </w:r>
      <w:r w:rsidRPr="00437993"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As despesas decorrentes deste Decreto correrão por conta da rubrica prevista no orçamento do Poder Legislativo, que consignará, anualmente, dotação orçamentária própria.</w:t>
      </w:r>
    </w:p>
    <w:p w14:paraId="0711A99A" w14:textId="4E634D3A" w:rsidR="00437993" w:rsidRDefault="00437993" w:rsidP="00437993">
      <w:pPr>
        <w:spacing w:line="360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  <w:u w:val="single"/>
        </w:rPr>
        <w:t xml:space="preserve">Art. </w:t>
      </w: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  <w:u w:val="single"/>
        </w:rPr>
        <w:t xml:space="preserve">4º - 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Esta lei entra em vigor na data de sua publicação.</w:t>
      </w:r>
    </w:p>
    <w:p w14:paraId="4BA42767" w14:textId="77777777" w:rsidR="00437993" w:rsidRDefault="00437993" w:rsidP="00437993">
      <w:pPr>
        <w:pStyle w:val="SemEspaamento"/>
        <w:rPr>
          <w:sz w:val="24"/>
          <w:szCs w:val="24"/>
        </w:rPr>
      </w:pPr>
    </w:p>
    <w:p w14:paraId="73886591" w14:textId="77777777" w:rsidR="00437993" w:rsidRDefault="00437993" w:rsidP="00437993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Sala das Sessões da Câmara Municipal de Campina Verde-MG</w:t>
      </w:r>
    </w:p>
    <w:p w14:paraId="52AD72FF" w14:textId="5A0E6D68" w:rsidR="00437993" w:rsidRDefault="00437993" w:rsidP="00437993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1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2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de maio de 2023</w:t>
      </w:r>
    </w:p>
    <w:p w14:paraId="63217C46" w14:textId="77777777" w:rsidR="00437993" w:rsidRDefault="00437993" w:rsidP="00437993">
      <w:pPr>
        <w:spacing w:line="276" w:lineRule="auto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</w:p>
    <w:p w14:paraId="3EC0492D" w14:textId="77777777" w:rsidR="00437993" w:rsidRDefault="00437993" w:rsidP="00437993">
      <w:pPr>
        <w:spacing w:after="0" w:line="252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Vereadora Mara Lúcia De Oliveira Macedo – Mara do Jacó</w:t>
      </w:r>
    </w:p>
    <w:p w14:paraId="71C42B0C" w14:textId="77777777" w:rsidR="00437993" w:rsidRDefault="00437993" w:rsidP="00437993">
      <w:pPr>
        <w:spacing w:after="0" w:line="252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 xml:space="preserve"> Autora</w:t>
      </w:r>
    </w:p>
    <w:p w14:paraId="7C29B609" w14:textId="77777777" w:rsidR="00437993" w:rsidRDefault="00437993" w:rsidP="00437993">
      <w:pPr>
        <w:spacing w:after="0" w:line="252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6"/>
          <w:szCs w:val="26"/>
        </w:rPr>
      </w:pPr>
    </w:p>
    <w:p w14:paraId="673974D9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22449328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3BCE35B5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70EF21DD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20F31592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288F464D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22FF6FCC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480A739C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6D5F807B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00BCD3FA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555FDBC2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66E2C65A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4C4FFAD1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07F1B77A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4AF3A65D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03CD5893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5D973666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0EBC6CCF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3983DCD4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4151B3A4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2F5DA574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6121E106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240003EA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1990CA45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0B31A928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40D0075E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229A68BE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5AC57FF6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319DBAE0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0B957D50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550CDE60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17B275F2" w14:textId="77777777" w:rsidR="00437993" w:rsidRDefault="00437993" w:rsidP="00437993">
      <w:pPr>
        <w:spacing w:after="0" w:line="252" w:lineRule="auto"/>
        <w:jc w:val="center"/>
        <w:rPr>
          <w:rFonts w:eastAsia="Calibri" w:cstheme="minorHAnsi"/>
          <w:b/>
          <w:color w:val="000000" w:themeColor="text1"/>
          <w:sz w:val="26"/>
          <w:szCs w:val="26"/>
        </w:rPr>
      </w:pPr>
    </w:p>
    <w:p w14:paraId="7B038E1D" w14:textId="77777777" w:rsidR="00437993" w:rsidRDefault="00437993" w:rsidP="00437993">
      <w:pPr>
        <w:spacing w:after="0" w:line="252" w:lineRule="auto"/>
        <w:rPr>
          <w:rFonts w:ascii="Century Gothic" w:eastAsia="Calibri" w:hAnsi="Century Gothic" w:cstheme="minorHAnsi"/>
          <w:b/>
          <w:sz w:val="24"/>
          <w:szCs w:val="24"/>
        </w:rPr>
      </w:pPr>
    </w:p>
    <w:p w14:paraId="526FFB40" w14:textId="77777777" w:rsidR="00437993" w:rsidRDefault="00437993" w:rsidP="00437993">
      <w:pPr>
        <w:spacing w:after="0" w:line="252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lastRenderedPageBreak/>
        <w:t>Projeto de Lei nº. 010/2023</w:t>
      </w:r>
    </w:p>
    <w:p w14:paraId="2D06A4E3" w14:textId="77777777" w:rsidR="00437993" w:rsidRDefault="00437993" w:rsidP="00437993">
      <w:pPr>
        <w:spacing w:after="0" w:line="252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(De Iniciativa do Poder Legislativo)</w:t>
      </w:r>
    </w:p>
    <w:p w14:paraId="72F05BBF" w14:textId="77777777" w:rsidR="00437993" w:rsidRDefault="00437993" w:rsidP="00437993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ar-SA"/>
        </w:rPr>
      </w:pPr>
    </w:p>
    <w:p w14:paraId="09FCB2F0" w14:textId="77777777" w:rsidR="00437993" w:rsidRDefault="00437993" w:rsidP="00437993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Century Gothic" w:eastAsia="Times New Roman" w:hAnsi="Century Gothic" w:cstheme="minorHAnsi"/>
          <w:b/>
          <w:color w:val="000000" w:themeColor="text1"/>
          <w:sz w:val="24"/>
          <w:szCs w:val="24"/>
          <w:lang w:eastAsia="ar-SA"/>
        </w:rPr>
      </w:pPr>
      <w:r>
        <w:rPr>
          <w:rFonts w:ascii="Century Gothic" w:eastAsia="Times New Roman" w:hAnsi="Century Gothic" w:cstheme="minorHAnsi"/>
          <w:b/>
          <w:color w:val="000000" w:themeColor="text1"/>
          <w:sz w:val="24"/>
          <w:szCs w:val="24"/>
          <w:lang w:eastAsia="ar-SA"/>
        </w:rPr>
        <w:t>MENSAGEM</w:t>
      </w:r>
    </w:p>
    <w:p w14:paraId="3E69611A" w14:textId="77777777" w:rsidR="00437993" w:rsidRDefault="00437993" w:rsidP="00437993">
      <w:pPr>
        <w:tabs>
          <w:tab w:val="center" w:pos="4252"/>
          <w:tab w:val="right" w:pos="8504"/>
        </w:tabs>
        <w:suppressAutoHyphens/>
        <w:spacing w:after="0" w:line="276" w:lineRule="auto"/>
        <w:jc w:val="both"/>
        <w:rPr>
          <w:rFonts w:ascii="Century Gothic" w:eastAsia="Times New Roman" w:hAnsi="Century Gothic" w:cstheme="minorHAnsi"/>
          <w:b/>
          <w:color w:val="000000" w:themeColor="text1"/>
          <w:sz w:val="24"/>
          <w:szCs w:val="24"/>
          <w:lang w:eastAsia="ar-SA"/>
        </w:rPr>
      </w:pPr>
    </w:p>
    <w:p w14:paraId="6BBEF9F6" w14:textId="77777777" w:rsidR="00437993" w:rsidRDefault="00437993" w:rsidP="00437993">
      <w:pPr>
        <w:tabs>
          <w:tab w:val="center" w:pos="4252"/>
          <w:tab w:val="right" w:pos="8504"/>
        </w:tabs>
        <w:suppressAutoHyphens/>
        <w:spacing w:after="0" w:line="276" w:lineRule="auto"/>
        <w:jc w:val="both"/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ar-SA"/>
        </w:rPr>
      </w:pPr>
      <w:r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ar-SA"/>
        </w:rPr>
        <w:t>Senhores Vereadores,</w:t>
      </w:r>
    </w:p>
    <w:p w14:paraId="18883234" w14:textId="77777777" w:rsidR="00437993" w:rsidRDefault="00437993" w:rsidP="00437993">
      <w:pPr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entury Gothic" w:eastAsia="Times New Roman" w:hAnsi="Century Gothic" w:cstheme="minorHAnsi"/>
          <w:b/>
          <w:color w:val="000000" w:themeColor="text1"/>
          <w:sz w:val="24"/>
          <w:szCs w:val="24"/>
          <w:lang w:eastAsia="ar-SA"/>
        </w:rPr>
      </w:pPr>
    </w:p>
    <w:p w14:paraId="6ECCDE18" w14:textId="77777777" w:rsidR="00437993" w:rsidRDefault="00437993" w:rsidP="00437993">
      <w:pPr>
        <w:tabs>
          <w:tab w:val="center" w:pos="4252"/>
          <w:tab w:val="right" w:pos="8504"/>
        </w:tabs>
        <w:suppressAutoHyphens/>
        <w:spacing w:after="0" w:line="360" w:lineRule="auto"/>
        <w:ind w:firstLine="1134"/>
        <w:jc w:val="both"/>
        <w:rPr>
          <w:rFonts w:ascii="Century Gothic" w:hAnsi="Century Gothic" w:cstheme="minorHAnsi"/>
          <w:sz w:val="24"/>
          <w:szCs w:val="24"/>
        </w:rPr>
      </w:pPr>
      <w:r w:rsidRPr="00437993">
        <w:rPr>
          <w:rFonts w:ascii="Century Gothic" w:hAnsi="Century Gothic" w:cstheme="minorHAnsi"/>
          <w:sz w:val="24"/>
          <w:szCs w:val="24"/>
        </w:rPr>
        <w:t xml:space="preserve">Em 12 de maio comemora-se o nascimento de Florence </w:t>
      </w:r>
      <w:proofErr w:type="spellStart"/>
      <w:r w:rsidRPr="00437993">
        <w:rPr>
          <w:rFonts w:ascii="Century Gothic" w:hAnsi="Century Gothic" w:cstheme="minorHAnsi"/>
          <w:sz w:val="24"/>
          <w:szCs w:val="24"/>
        </w:rPr>
        <w:t>Nightingale</w:t>
      </w:r>
      <w:proofErr w:type="spellEnd"/>
      <w:r w:rsidRPr="00437993">
        <w:rPr>
          <w:rFonts w:ascii="Century Gothic" w:hAnsi="Century Gothic" w:cstheme="minorHAnsi"/>
          <w:sz w:val="24"/>
          <w:szCs w:val="24"/>
        </w:rPr>
        <w:t>, pioneira no tratamento a feridos de guerra. Já dia 20 de maio recorda o falecimento da enfermeira brasileira Anna Nery, em 1880, primeira enfermeira brasileira a se alistar voluntariamente em combates militares, cuidando dos soldados na frente de batalha na Guerra do Paraguai (1865-1870).</w:t>
      </w:r>
    </w:p>
    <w:p w14:paraId="458AEC72" w14:textId="77777777" w:rsidR="00437993" w:rsidRDefault="00437993" w:rsidP="00437993">
      <w:pPr>
        <w:tabs>
          <w:tab w:val="center" w:pos="4252"/>
          <w:tab w:val="right" w:pos="8504"/>
        </w:tabs>
        <w:suppressAutoHyphens/>
        <w:spacing w:after="0" w:line="360" w:lineRule="auto"/>
        <w:ind w:firstLine="1134"/>
        <w:jc w:val="both"/>
        <w:rPr>
          <w:rFonts w:ascii="Century Gothic" w:hAnsi="Century Gothic" w:cstheme="minorHAnsi"/>
          <w:sz w:val="24"/>
          <w:szCs w:val="24"/>
        </w:rPr>
      </w:pPr>
      <w:r w:rsidRPr="00437993">
        <w:rPr>
          <w:rFonts w:ascii="Century Gothic" w:hAnsi="Century Gothic" w:cstheme="minorHAnsi"/>
          <w:sz w:val="24"/>
          <w:szCs w:val="24"/>
        </w:rPr>
        <w:t xml:space="preserve"> Em 1958, a assembleia geral da Associação Brasileira de Enfermagem (</w:t>
      </w:r>
      <w:proofErr w:type="spellStart"/>
      <w:r w:rsidRPr="00437993">
        <w:rPr>
          <w:rFonts w:ascii="Century Gothic" w:hAnsi="Century Gothic" w:cstheme="minorHAnsi"/>
          <w:sz w:val="24"/>
          <w:szCs w:val="24"/>
        </w:rPr>
        <w:t>ABEn</w:t>
      </w:r>
      <w:proofErr w:type="spellEnd"/>
      <w:r w:rsidRPr="00437993">
        <w:rPr>
          <w:rFonts w:ascii="Century Gothic" w:hAnsi="Century Gothic" w:cstheme="minorHAnsi"/>
          <w:sz w:val="24"/>
          <w:szCs w:val="24"/>
        </w:rPr>
        <w:t xml:space="preserve">) recomendou a criação, por ato oficial, da Semana de Enfermagem. O objetivo era fortalecer e valorizar a união de todos esses profissionais. Segundo o Conselho Federal de Enfermagem (Cofen), no Brasil existem mais de 500 mil enfermeiros, além de técnicos e auxiliares de Enfermagem, somando, ao todo, mais de 2 milhões de profissionais em todo o país. </w:t>
      </w:r>
    </w:p>
    <w:p w14:paraId="1360D1A9" w14:textId="77777777" w:rsidR="00437993" w:rsidRDefault="00437993" w:rsidP="00437993">
      <w:pPr>
        <w:tabs>
          <w:tab w:val="center" w:pos="4252"/>
          <w:tab w:val="right" w:pos="8504"/>
        </w:tabs>
        <w:suppressAutoHyphens/>
        <w:spacing w:after="0" w:line="360" w:lineRule="auto"/>
        <w:ind w:firstLine="1134"/>
        <w:jc w:val="both"/>
        <w:rPr>
          <w:rFonts w:ascii="Century Gothic" w:hAnsi="Century Gothic" w:cstheme="minorHAnsi"/>
          <w:sz w:val="24"/>
          <w:szCs w:val="24"/>
        </w:rPr>
      </w:pPr>
      <w:r w:rsidRPr="00437993">
        <w:rPr>
          <w:rFonts w:ascii="Century Gothic" w:hAnsi="Century Gothic" w:cstheme="minorHAnsi"/>
          <w:sz w:val="24"/>
          <w:szCs w:val="24"/>
        </w:rPr>
        <w:t xml:space="preserve">No Sistema Único de Saúde (SUS), são mais de 200 mil profissionais de Enfermagem. Com a atual pandemia do novo coronavírus, causador da Covid-19, o profissional da categoria da enfermagem ganhou novo significado: heróis. </w:t>
      </w:r>
    </w:p>
    <w:p w14:paraId="26D9361A" w14:textId="75FD5989" w:rsidR="00437993" w:rsidRDefault="00437993" w:rsidP="00437993">
      <w:pPr>
        <w:tabs>
          <w:tab w:val="center" w:pos="4252"/>
          <w:tab w:val="right" w:pos="8504"/>
        </w:tabs>
        <w:suppressAutoHyphens/>
        <w:spacing w:after="0" w:line="360" w:lineRule="auto"/>
        <w:ind w:firstLine="1134"/>
        <w:jc w:val="both"/>
        <w:rPr>
          <w:rFonts w:ascii="Century Gothic" w:hAnsi="Century Gothic" w:cstheme="minorHAnsi"/>
          <w:sz w:val="24"/>
          <w:szCs w:val="24"/>
        </w:rPr>
      </w:pPr>
      <w:r w:rsidRPr="00437993">
        <w:rPr>
          <w:rFonts w:ascii="Century Gothic" w:hAnsi="Century Gothic" w:cstheme="minorHAnsi"/>
          <w:sz w:val="24"/>
          <w:szCs w:val="24"/>
        </w:rPr>
        <w:t xml:space="preserve">Contudo, mais do que aplausos nesse momento atual, os profissionais de enfermagem brasileiros necessitam de reconhecimento e valorização constante da população, e dos três Poderes da União, uma vez que sua atuação sempre foi de grande relevância. </w:t>
      </w:r>
    </w:p>
    <w:p w14:paraId="3F446BE3" w14:textId="77777777" w:rsidR="00437993" w:rsidRDefault="00437993" w:rsidP="00437993">
      <w:pPr>
        <w:tabs>
          <w:tab w:val="center" w:pos="4252"/>
          <w:tab w:val="right" w:pos="8504"/>
        </w:tabs>
        <w:suppressAutoHyphens/>
        <w:spacing w:after="0" w:line="360" w:lineRule="auto"/>
        <w:ind w:firstLine="1134"/>
        <w:jc w:val="both"/>
        <w:rPr>
          <w:rFonts w:ascii="Century Gothic" w:hAnsi="Century Gothic" w:cstheme="minorHAnsi"/>
          <w:sz w:val="24"/>
          <w:szCs w:val="24"/>
        </w:rPr>
      </w:pPr>
      <w:r w:rsidRPr="00437993">
        <w:rPr>
          <w:rFonts w:ascii="Century Gothic" w:hAnsi="Century Gothic" w:cstheme="minorHAnsi"/>
          <w:sz w:val="24"/>
          <w:szCs w:val="24"/>
        </w:rPr>
        <w:t xml:space="preserve">A saúde do país depende dessas pessoas que revelam um amor ímpar pela vocação, além de pautarem sua atuação profissional na ética, compromisso e responsabilidade. </w:t>
      </w:r>
    </w:p>
    <w:p w14:paraId="6A83BE2A" w14:textId="045801A9" w:rsidR="00437993" w:rsidRDefault="00437993" w:rsidP="00437993">
      <w:pPr>
        <w:tabs>
          <w:tab w:val="center" w:pos="4252"/>
          <w:tab w:val="right" w:pos="8504"/>
        </w:tabs>
        <w:suppressAutoHyphens/>
        <w:spacing w:after="0" w:line="360" w:lineRule="auto"/>
        <w:ind w:firstLine="1134"/>
        <w:jc w:val="both"/>
        <w:rPr>
          <w:rFonts w:ascii="Century Gothic" w:hAnsi="Century Gothic" w:cstheme="minorHAnsi"/>
          <w:sz w:val="24"/>
          <w:szCs w:val="24"/>
        </w:rPr>
      </w:pPr>
      <w:r w:rsidRPr="00437993">
        <w:rPr>
          <w:rFonts w:ascii="Century Gothic" w:hAnsi="Century Gothic" w:cstheme="minorHAnsi"/>
          <w:sz w:val="24"/>
          <w:szCs w:val="24"/>
        </w:rPr>
        <w:t xml:space="preserve">Os profissionais da enfermagem, prestam assistência à saúde com conhecimento científico, técnico e legal atuando na prevenção e </w:t>
      </w:r>
      <w:r w:rsidRPr="00437993">
        <w:rPr>
          <w:rFonts w:ascii="Century Gothic" w:hAnsi="Century Gothic" w:cstheme="minorHAnsi"/>
          <w:sz w:val="24"/>
          <w:szCs w:val="24"/>
        </w:rPr>
        <w:lastRenderedPageBreak/>
        <w:t xml:space="preserve">no restabelecimento das pessoas. Estão presentes em todas as etapas da vida. Do nascer ao morrer, todos necessitam da assistência de enfermagem. </w:t>
      </w:r>
    </w:p>
    <w:p w14:paraId="1BF15A9D" w14:textId="34638F78" w:rsidR="00437993" w:rsidRDefault="00437993" w:rsidP="00437993">
      <w:pPr>
        <w:tabs>
          <w:tab w:val="center" w:pos="4252"/>
          <w:tab w:val="right" w:pos="8504"/>
        </w:tabs>
        <w:suppressAutoHyphens/>
        <w:spacing w:after="0" w:line="360" w:lineRule="auto"/>
        <w:ind w:firstLine="1134"/>
        <w:jc w:val="both"/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ar-SA"/>
        </w:rPr>
      </w:pPr>
      <w:r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ar-SA"/>
        </w:rPr>
        <w:t>Certos de todo merecimento desta simples homenagem, conto com a compreensão e o apoio valioso desta Casa e aproveito a oportunidade para reiterar os nossos sinceros agradecimentos.</w:t>
      </w:r>
    </w:p>
    <w:p w14:paraId="152DFAC0" w14:textId="77777777" w:rsidR="00437993" w:rsidRDefault="00437993" w:rsidP="00437993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eastAsia="Times New Roman" w:cstheme="minorHAnsi"/>
          <w:color w:val="000000" w:themeColor="text1"/>
          <w:sz w:val="26"/>
          <w:szCs w:val="26"/>
          <w:lang w:eastAsia="ar-SA"/>
        </w:rPr>
      </w:pPr>
    </w:p>
    <w:p w14:paraId="1FF956B1" w14:textId="263BECA7" w:rsidR="00437993" w:rsidRDefault="00437993" w:rsidP="00437993">
      <w:pPr>
        <w:spacing w:line="252" w:lineRule="auto"/>
        <w:jc w:val="center"/>
        <w:rPr>
          <w:rFonts w:ascii="Century Gothic" w:eastAsia="Calibri" w:hAnsi="Century Gothic" w:cstheme="minorHAnsi"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Campina Verde, 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>12</w:t>
      </w:r>
      <w:r>
        <w:rPr>
          <w:rFonts w:ascii="Century Gothic" w:eastAsia="Calibri" w:hAnsi="Century Gothic" w:cstheme="minorHAnsi"/>
          <w:color w:val="000000" w:themeColor="text1"/>
          <w:sz w:val="24"/>
          <w:szCs w:val="24"/>
        </w:rPr>
        <w:t xml:space="preserve"> de maio de 2023</w:t>
      </w:r>
    </w:p>
    <w:p w14:paraId="3B7F8DF5" w14:textId="77777777" w:rsidR="00437993" w:rsidRDefault="00437993" w:rsidP="00437993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ar-SA"/>
        </w:rPr>
      </w:pPr>
    </w:p>
    <w:p w14:paraId="2775B8B0" w14:textId="77777777" w:rsidR="00437993" w:rsidRDefault="00437993" w:rsidP="00437993">
      <w:pPr>
        <w:spacing w:after="0" w:line="252" w:lineRule="auto"/>
        <w:jc w:val="center"/>
        <w:rPr>
          <w:rFonts w:ascii="Century Gothic" w:eastAsia="Times New Roman" w:hAnsi="Century Gothic" w:cstheme="minorHAnsi"/>
          <w:color w:val="000000" w:themeColor="text1"/>
          <w:sz w:val="24"/>
          <w:szCs w:val="24"/>
          <w:lang w:eastAsia="ar-SA"/>
        </w:rPr>
      </w:pPr>
    </w:p>
    <w:p w14:paraId="06BD7C46" w14:textId="77777777" w:rsidR="00437993" w:rsidRDefault="00437993" w:rsidP="00437993">
      <w:pPr>
        <w:spacing w:after="0" w:line="252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Vereador</w:t>
      </w: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a</w:t>
      </w: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Mara Lúcia De Oliveira Macedo</w:t>
      </w: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– Mara do Jacó</w:t>
      </w:r>
    </w:p>
    <w:p w14:paraId="6A3AF2C1" w14:textId="2E5531DB" w:rsidR="00437993" w:rsidRDefault="00437993" w:rsidP="00437993">
      <w:pPr>
        <w:spacing w:after="0" w:line="252" w:lineRule="auto"/>
        <w:jc w:val="center"/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 xml:space="preserve"> Autor</w:t>
      </w:r>
      <w:r>
        <w:rPr>
          <w:rFonts w:ascii="Century Gothic" w:eastAsia="Calibri" w:hAnsi="Century Gothic" w:cstheme="minorHAnsi"/>
          <w:b/>
          <w:color w:val="000000" w:themeColor="text1"/>
          <w:sz w:val="24"/>
          <w:szCs w:val="24"/>
        </w:rPr>
        <w:t>a</w:t>
      </w:r>
    </w:p>
    <w:p w14:paraId="60D2A7EA" w14:textId="77777777" w:rsidR="00A3402F" w:rsidRDefault="00A3402F"/>
    <w:sectPr w:rsidR="00A3402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C197" w14:textId="77777777" w:rsidR="00437993" w:rsidRDefault="00437993" w:rsidP="00437993">
      <w:pPr>
        <w:spacing w:after="0" w:line="240" w:lineRule="auto"/>
      </w:pPr>
      <w:r>
        <w:separator/>
      </w:r>
    </w:p>
  </w:endnote>
  <w:endnote w:type="continuationSeparator" w:id="0">
    <w:p w14:paraId="5872198F" w14:textId="77777777" w:rsidR="00437993" w:rsidRDefault="00437993" w:rsidP="0043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5F5B" w14:textId="77777777" w:rsidR="00437993" w:rsidRDefault="00437993" w:rsidP="00437993">
      <w:pPr>
        <w:spacing w:after="0" w:line="240" w:lineRule="auto"/>
      </w:pPr>
      <w:r>
        <w:separator/>
      </w:r>
    </w:p>
  </w:footnote>
  <w:footnote w:type="continuationSeparator" w:id="0">
    <w:p w14:paraId="59338ED1" w14:textId="77777777" w:rsidR="00437993" w:rsidRDefault="00437993" w:rsidP="0043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E14D" w14:textId="77777777" w:rsidR="00437993" w:rsidRPr="00862B0A" w:rsidRDefault="00437993" w:rsidP="00437993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color w:val="000000"/>
        <w:sz w:val="20"/>
        <w:szCs w:val="12"/>
      </w:rPr>
    </w:pPr>
    <w:r>
      <w:rPr>
        <w:rFonts w:ascii="Verdana" w:hAnsi="Verdana"/>
        <w:b/>
        <w:noProof/>
        <w:color w:val="000000"/>
        <w:sz w:val="24"/>
        <w:szCs w:val="12"/>
      </w:rPr>
      <w:object w:dxaOrig="1440" w:dyaOrig="1440" w14:anchorId="0AB8D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71.55pt;margin-top:.35pt;width:56.9pt;height:34.1pt;z-index:251658240">
          <v:imagedata r:id="rId1" o:title=""/>
          <w10:wrap type="topAndBottom"/>
        </v:shape>
        <o:OLEObject Type="Embed" ProgID="MS_ClipArt_Gallery" ShapeID="_x0000_s1025" DrawAspect="Content" ObjectID="_1745406734" r:id="rId2"/>
      </w:object>
    </w:r>
    <w:r w:rsidRPr="00862B0A">
      <w:rPr>
        <w:rFonts w:ascii="Verdana" w:hAnsi="Verdana"/>
        <w:b/>
        <w:color w:val="000000"/>
        <w:sz w:val="24"/>
        <w:szCs w:val="12"/>
      </w:rPr>
      <w:t>Câmara Municipal de Campina Verde - Estado de Minas Gerais</w:t>
    </w:r>
  </w:p>
  <w:p w14:paraId="6E902B26" w14:textId="77777777" w:rsidR="00437993" w:rsidRPr="00862B0A" w:rsidRDefault="00437993" w:rsidP="00437993">
    <w:pPr>
      <w:spacing w:after="0" w:line="240" w:lineRule="auto"/>
      <w:jc w:val="center"/>
      <w:rPr>
        <w:rFonts w:ascii="Verdana" w:eastAsia="Times New Roman" w:hAnsi="Verdana"/>
        <w:b/>
        <w:color w:val="000000"/>
        <w:sz w:val="12"/>
        <w:szCs w:val="12"/>
      </w:rPr>
    </w:pPr>
    <w:r w:rsidRPr="00862B0A">
      <w:rPr>
        <w:rFonts w:ascii="Verdana" w:eastAsia="Times New Roman" w:hAnsi="Verdana"/>
        <w:b/>
        <w:color w:val="000000"/>
        <w:sz w:val="12"/>
        <w:szCs w:val="12"/>
      </w:rPr>
      <w:t>MESA DIRETORA – 2023- 3º Período Legislativo da 19ª Legislatura</w:t>
    </w:r>
  </w:p>
  <w:p w14:paraId="2BD44B64" w14:textId="77777777" w:rsidR="00437993" w:rsidRPr="00862B0A" w:rsidRDefault="00437993" w:rsidP="00437993">
    <w:pPr>
      <w:spacing w:after="0" w:line="240" w:lineRule="auto"/>
      <w:jc w:val="center"/>
      <w:rPr>
        <w:rFonts w:ascii="Verdana" w:eastAsia="Times New Roman" w:hAnsi="Verdana"/>
        <w:b/>
        <w:color w:val="000000"/>
        <w:sz w:val="12"/>
        <w:szCs w:val="12"/>
      </w:rPr>
    </w:pPr>
    <w:r w:rsidRPr="00862B0A">
      <w:rPr>
        <w:rFonts w:ascii="Verdana" w:eastAsia="Times New Roman" w:hAnsi="Verdana"/>
        <w:b/>
        <w:color w:val="000000"/>
        <w:sz w:val="12"/>
        <w:szCs w:val="12"/>
      </w:rPr>
      <w:t>Presidente: Vereador Rodrigo Camargos Gonçalves - Vice-Presidente: Vereadora Mara Lúcia de Oliveira Macedo</w:t>
    </w:r>
  </w:p>
  <w:p w14:paraId="0A5CF51A" w14:textId="77777777" w:rsidR="00437993" w:rsidRPr="00862B0A" w:rsidRDefault="00437993" w:rsidP="00437993">
    <w:pPr>
      <w:spacing w:after="0" w:line="240" w:lineRule="auto"/>
      <w:jc w:val="center"/>
      <w:rPr>
        <w:rFonts w:ascii="Verdana" w:eastAsia="Times New Roman" w:hAnsi="Verdana"/>
        <w:b/>
        <w:i/>
        <w:color w:val="000000"/>
        <w:sz w:val="12"/>
        <w:szCs w:val="12"/>
      </w:rPr>
    </w:pPr>
    <w:r w:rsidRPr="00862B0A">
      <w:rPr>
        <w:rFonts w:ascii="Verdana" w:eastAsia="Times New Roman" w:hAnsi="Verdana"/>
        <w:b/>
        <w:color w:val="000000"/>
        <w:sz w:val="12"/>
        <w:szCs w:val="12"/>
      </w:rPr>
      <w:t>Secretário: Vereador Marivaldo Antônio de Souza Silva – Tesoureiro: Vereador Gustavo Venâncio Arantes Freitas</w:t>
    </w:r>
  </w:p>
  <w:p w14:paraId="3F282E3D" w14:textId="77777777" w:rsidR="00437993" w:rsidRDefault="004379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93"/>
    <w:rsid w:val="002B3C5C"/>
    <w:rsid w:val="00437993"/>
    <w:rsid w:val="00A3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2B6BA"/>
  <w15:chartTrackingRefBased/>
  <w15:docId w15:val="{59CC2E82-9995-4F2E-B467-E21C22AE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993"/>
    <w:pPr>
      <w:spacing w:line="254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37993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37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99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37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99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557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Brito</dc:creator>
  <cp:keywords/>
  <dc:description/>
  <cp:lastModifiedBy>Paula Brito</cp:lastModifiedBy>
  <cp:revision>1</cp:revision>
  <dcterms:created xsi:type="dcterms:W3CDTF">2023-05-12T17:16:00Z</dcterms:created>
  <dcterms:modified xsi:type="dcterms:W3CDTF">2023-05-12T17:26:00Z</dcterms:modified>
</cp:coreProperties>
</file>